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关于遴选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绘说-讲好中国故事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打造新时代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402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学龄儿童教育先锋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志愿服务团队的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402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4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通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各学院团委：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月，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为响应国家中华慈善日的号召，在共青团湘潭市委的部署下，湖南科技大学组织开展了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年“腾讯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公益日”活动，助力湘潭青少年事业发展。在各学院、全校师生的共同努力下，活动取得圆满成功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经研究，现决定开展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绘说-讲好中国故事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打造新时代学龄儿童教育先锋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志愿服务团队的遴选工作，学校将给予入选团队一定的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一、活动内容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以“绘说-讲好中国故事，打造新时代学龄儿童教育先锋”为主题，可以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结合“三下乡”等专项活动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以“中国原创绘本”为载体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的多种形式的志愿服务活动（如绘本课堂、绘本捐赠、中国原创绘本展、绘本图书墙等）。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月至8月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各学院青年志愿者组织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"/>
          <w:sz w:val="32"/>
          <w:szCs w:val="32"/>
          <w:lang w:val="en-US" w:eastAsia="zh-CN"/>
        </w:rPr>
        <w:t>四、申报流程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1.各学院可根据实际情况推荐不超过1个团队，若无合适团队，可不推荐；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2.有意申报的团队需提交一份活动策划方案，方案内容应包括活动时间、地点、内容、预案及经费预算；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3.根据提交材料，学校将选拔出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2支重点团队，各给予800元经费支持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，以及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5支入围团队，各给予500元经费支持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4.请各学院于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6月19日（周三）晚上19:00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前将申报材料电子档发送至指定邮箱hnustqz@163.com，纸质档材料需由学院签字盖章，于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6月20日（周四）中午12:30-14:00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之间提交至青年之家103处。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"/>
          <w:sz w:val="32"/>
          <w:szCs w:val="32"/>
          <w:lang w:val="en-US" w:eastAsia="zh-CN"/>
        </w:rPr>
        <w:t>五、注意事项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1.入选团队可根据活动方案开展活动，校团委给予经费支持，活动结束后各团队提供图片、新闻、等总结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发票；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2.其他未尽事宜详见后续通知。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Style w:val="4"/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Style w:val="4"/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唐老师  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58291427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朱同学  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13975801269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箱：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hnustqz@163.com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7E226F8F"/>
    <w:rsid w:val="7E22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2024-06-17T04:42:00Z</dcterms:created>
  <dc:creator>ৡ仰ᮨ望星空ོꦿ࿐</dc:creator>
  <cp:lastModifiedBy>ৡ仰ᮨ望星空ོꦿ࿐</cp:lastModifiedBy>
  <dcterms:modified xsi:type="dcterms:W3CDTF">2024-06-17T04:42:38Z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E4AE1855C5F64415956A11D1622F3744_11</vt:lpwstr>
  </property>
</Properties>
</file>